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ind w:firstLine="1041" w:firstLineChars="200"/>
        <w:jc w:val="both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rPr>
          <w:kern w:val="0"/>
          <w:sz w:val="30"/>
          <w:szCs w:val="30"/>
        </w:rPr>
      </w:pP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中央政法转移支付资金（办案业务经费）项目</w:t>
      </w:r>
    </w:p>
    <w:p>
      <w:pPr>
        <w:pStyle w:val="48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塔什库尔干县人民法院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eastAsia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中共塔什库尔干塔吉克自治县委员会政法委员会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eastAsia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王世龙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12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28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</w:pP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  <w:t>（一）项目单位基本情况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塔什库尔干县人民法院单位性质为行政单位，全额拨款，执行会计制度为行政会计制度。独立编制机构1个，独立编制机构与上年无变动。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二、机构人员情况：编制38人（按照编委文件填报，其中：行政政法编制35人，工勤人员3人），实有在职人数35人，（其中：行政政法编制32人，工勤人员3人），退休17人，遗属补助6人，属于一般公共预算财政拨款（补助）开支52人，其中：在职35人，退休17人；遗属补助6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 w:cs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numPr>
          <w:ilvl w:val="0"/>
          <w:numId w:val="1"/>
        </w:numPr>
        <w:spacing w:line="560" w:lineRule="exact"/>
        <w:ind w:firstLine="624" w:firstLineChars="200"/>
        <w:rPr>
          <w:rFonts w:hint="eastAsia" w:ascii="仿宋" w:hAnsi="仿宋" w:eastAsia="仿宋" w:cs="仿宋"/>
          <w:color w:val="auto"/>
          <w:spacing w:val="-2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预期目标及阶段性目标：一是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</w:rPr>
        <w:t>聚焦总目标，坚决抓好审判执行主业，在弘扬法治精神上彰显忠诚</w:t>
      </w:r>
    </w:p>
    <w:p>
      <w:pPr>
        <w:spacing w:line="560" w:lineRule="exact"/>
        <w:ind w:firstLine="632" w:firstLineChars="200"/>
        <w:rPr>
          <w:rFonts w:hint="eastAsia" w:ascii="仿宋" w:hAnsi="仿宋" w:eastAsia="仿宋" w:cs="仿宋"/>
          <w:color w:val="auto"/>
          <w:spacing w:val="-2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pacing w:val="-2"/>
          <w:sz w:val="32"/>
          <w:szCs w:val="32"/>
        </w:rPr>
        <w:t>截止11月底，我院共收立各类案件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  <w:rtl/>
          <w:cs/>
        </w:rPr>
        <w:t>206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</w:rPr>
        <w:t>件（其中，旧存22件，新收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  <w:rtl/>
          <w:cs/>
        </w:rPr>
        <w:t>184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</w:rPr>
        <w:t>件），其中：刑事案件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  <w:rtl/>
          <w:cs/>
        </w:rPr>
        <w:t>32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</w:rPr>
        <w:t>件（普通刑事案件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  <w:rtl/>
          <w:cs/>
        </w:rPr>
        <w:t>29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</w:rPr>
        <w:t>件），同比去年上升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  <w:rtl/>
          <w:cs/>
        </w:rPr>
        <w:t>34.4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</w:rPr>
        <w:t>%，结案率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  <w:rtl/>
          <w:cs/>
        </w:rPr>
        <w:t>96.77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</w:rPr>
        <w:t>%；民商事案件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  <w:rtl/>
          <w:cs/>
        </w:rPr>
        <w:t>136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</w:rPr>
        <w:t>件，已结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  <w:rtl/>
          <w:cs/>
        </w:rPr>
        <w:t>114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</w:rPr>
        <w:t>件；行政案件1件，同比去年上升100%，已结1件、结案率100%；执行案件33件，同比去年上升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  <w:rtl/>
          <w:cs/>
        </w:rPr>
        <w:t>21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</w:rPr>
        <w:t>%，已结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  <w:rtl/>
          <w:cs/>
        </w:rPr>
        <w:t>30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</w:rPr>
        <w:t>件，结案率同比去年上升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  <w:rtl/>
          <w:cs/>
        </w:rPr>
        <w:t>43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</w:rPr>
        <w:t>%；案件收案标的为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  <w:rtl/>
          <w:cs/>
        </w:rPr>
        <w:t>21195.54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</w:rPr>
        <w:t>万元，结案标的为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  <w:rtl/>
          <w:cs/>
        </w:rPr>
        <w:t>3402.01</w:t>
      </w:r>
      <w:r>
        <w:rPr>
          <w:rFonts w:hint="eastAsia" w:ascii="仿宋" w:hAnsi="仿宋" w:eastAsia="仿宋" w:cs="仿宋"/>
          <w:color w:val="auto"/>
          <w:spacing w:val="-2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 w:cs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eastAsia="zh-CN"/>
        </w:rPr>
        <w:t>延续性项目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 w:cs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项目基本性质用途和范围：项目基本性质用途：中央政法转移支付资金（办案业务经费），主要用于：依法审理刑事、民事、行政等各类案件所需要的干警差旅费、培训费、案件所需印刷、办公耗材、办公用品、邮寄案件材料、车辆油料、修理费、车辆保险、审验、过路费等，综合审判楼的维修维护费，水电费，法律宣传等费用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spacing w:line="500" w:lineRule="exact"/>
        <w:ind w:firstLine="758" w:firstLineChars="243"/>
        <w:rPr>
          <w:rStyle w:val="18"/>
          <w:rFonts w:hint="eastAsia" w:ascii="仿宋" w:hAnsi="仿宋" w:eastAsia="仿宋" w:cs="仿宋"/>
          <w:bCs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项目资金主要是财政拨款中央政法转移支付专项资金(办案业务经费)，总计拨付121万元。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val="en-US" w:eastAsia="zh-CN"/>
        </w:rPr>
        <w:t>121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项目资金主要用于支付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eastAsia="zh-CN"/>
        </w:rPr>
        <w:t>办公费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用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val="en-US" w:eastAsia="zh-CN"/>
        </w:rPr>
        <w:t>18.38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万元、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eastAsia="zh-CN"/>
        </w:rPr>
        <w:t>印刷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费用支付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val="en-US" w:eastAsia="zh-CN"/>
        </w:rPr>
        <w:t>9.97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万元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eastAsia="zh-CN"/>
        </w:rPr>
        <w:t>、水费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val="en-US" w:eastAsia="zh-CN"/>
        </w:rPr>
        <w:t>2.94万元、电费8.63万元、邮电费3.11万元、差旅费26.79万元、维护费8.48万元、培训费4.66万元、劳务费8.4万元、公务用车运行维护费29.65万元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  <w:t>（三）项目资金管理情况分析</w:t>
      </w:r>
    </w:p>
    <w:p>
      <w:pPr>
        <w:spacing w:line="500" w:lineRule="exact"/>
        <w:ind w:firstLine="624" w:firstLineChars="200"/>
        <w:rPr>
          <w:rStyle w:val="18"/>
          <w:rFonts w:hint="eastAsia" w:ascii="仿宋" w:hAnsi="仿宋" w:eastAsia="仿宋" w:cs="仿宋"/>
          <w:b w:val="0"/>
          <w:bCs w:val="0"/>
          <w:color w:val="auto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2018年项目一个为中央政法转移支付资金（办案业务经费），在项目实施过程中全力人民法院审判、巡回法庭案件审理等工作的落实。一是结全年工作实际情况，责任到人，将经费按月按庭室列出支出时间表，使各项支出有计划的开展，提高了预算执行率。二是加强督促检查。对于重大项目支出召开党组会研究决定。</w:t>
      </w: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  <w:lang w:eastAsia="zh-CN"/>
        </w:rPr>
        <w:t>无截留、挪用、延迟拨付的情况。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项目资金于6月份左右到位后，立即开会确定实施方案及实施范围，并形成报告上报县财经领导小组批准使用。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  <w:t>（二）项目管理情况分析</w:t>
      </w:r>
    </w:p>
    <w:p>
      <w:pPr>
        <w:spacing w:line="500" w:lineRule="exact"/>
        <w:ind w:firstLine="624" w:firstLineChars="200"/>
        <w:rPr>
          <w:rStyle w:val="18"/>
          <w:rFonts w:hint="eastAsia" w:ascii="仿宋" w:hAnsi="仿宋" w:eastAsia="仿宋" w:cs="仿宋"/>
          <w:b w:val="0"/>
          <w:bCs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2018年项目一个为中央政法转移支付资金（办案业务经费），在项目实施过程中全力人民法院审判、巡回法庭案件审理等工作的落实。一是结全年工作实际情况，责任到人，将经费按月按庭室列出支出时间表，使各项支出有计划的开展，提高了预算执行率。二是加强督促检查。对于重大项目支出召开党组会研究决定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" w:hAnsi="仿宋" w:eastAsia="仿宋" w:cs="仿宋"/>
          <w:color w:val="auto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hint="eastAsia" w:ascii="仿宋" w:hAnsi="仿宋" w:eastAsia="仿宋" w:cs="仿宋"/>
          <w:bCs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个，二级指标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个，三级指标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个，其中已完成三级指标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个，指标完成率为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效率性：案件结案标的年内及时完成率</w:t>
      </w: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  <w:lang w:eastAsia="zh-CN"/>
        </w:rPr>
        <w:t>，预期目标</w:t>
      </w: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  <w:lang w:val="en-US" w:eastAsia="zh-CN"/>
        </w:rPr>
        <w:t>98%，实际完成90%；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效益性：</w:t>
      </w: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  <w:lang w:eastAsia="zh-CN"/>
        </w:rPr>
        <w:t>指标</w:t>
      </w: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  <w:lang w:val="en-US" w:eastAsia="zh-CN"/>
        </w:rPr>
        <w:t>1：建设法制社会，维护社会和谐</w:t>
      </w:r>
      <w:bookmarkStart w:id="0" w:name="_GoBack"/>
      <w:bookmarkEnd w:id="0"/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  <w:lang w:val="en-US" w:eastAsia="zh-CN"/>
        </w:rPr>
        <w:t>，保障人民的合法权益不受侵犯，预期指标效果明显，已完成指标：效果明显；巡回法庭案件减轻当事人经济负担程度，预期指标：明显，实际完成指标：明显。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仿宋" w:hAnsi="仿宋" w:eastAsia="仿宋" w:cs="仿宋"/>
          <w:b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仿宋"/>
          <w:color w:val="auto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仿宋" w:hAnsi="仿宋" w:eastAsia="仿宋" w:cs="仿宋"/>
          <w:b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936" w:firstLineChars="300"/>
        <w:outlineLvl w:val="0"/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eastAsia="zh-CN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仿宋" w:hAnsi="仿宋" w:eastAsia="仿宋" w:cs="仿宋"/>
          <w:b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1、主要经验及做法</w:t>
      </w:r>
    </w:p>
    <w:p>
      <w:pPr>
        <w:spacing w:line="500" w:lineRule="exact"/>
        <w:ind w:firstLine="755" w:firstLineChars="242"/>
        <w:rPr>
          <w:rFonts w:hint="eastAsia" w:ascii="仿宋" w:hAnsi="仿宋" w:eastAsia="仿宋" w:cs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32"/>
          <w:szCs w:val="32"/>
          <w:lang w:eastAsia="zh-CN"/>
        </w:rPr>
        <w:t>无。</w:t>
      </w:r>
    </w:p>
    <w:p>
      <w:pPr>
        <w:spacing w:line="500" w:lineRule="exact"/>
        <w:ind w:firstLine="755" w:firstLineChars="242"/>
        <w:rPr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pacing w:val="-4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存在的问题：</w:t>
      </w:r>
    </w:p>
    <w:p>
      <w:pPr>
        <w:spacing w:line="500" w:lineRule="exact"/>
        <w:ind w:firstLine="755" w:firstLineChars="242"/>
        <w:rPr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一是根据项目实施情况，第一、二季度支出偏低，主要是资金于6月左右才到位，必须上报实施方案上报县财经领导小组批准方可使用。</w:t>
      </w:r>
    </w:p>
    <w:p>
      <w:pPr>
        <w:spacing w:line="500" w:lineRule="exact"/>
        <w:ind w:firstLine="755" w:firstLineChars="242"/>
        <w:rPr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二是对项目绩效认识不到位，存在集中花钱办事的情况。</w:t>
      </w:r>
    </w:p>
    <w:p>
      <w:pPr>
        <w:spacing w:line="500" w:lineRule="exact"/>
        <w:ind w:firstLine="755" w:firstLineChars="242"/>
        <w:rPr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pacing w:val="-4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  <w:lang w:eastAsia="zh-CN"/>
        </w:rPr>
        <w:t>建议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：</w:t>
      </w:r>
    </w:p>
    <w:p>
      <w:pPr>
        <w:spacing w:line="500" w:lineRule="exact"/>
        <w:ind w:firstLine="755" w:firstLineChars="242"/>
        <w:rPr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针对绩效评价过程中的问题，一是科学地做好支出进度安排，并在实施过程加强监督，加快支出进度。二是做好预算编制安排，争取每月支出达到相对均衡。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仿宋" w:hAnsi="仿宋" w:eastAsia="仿宋" w:cs="仿宋"/>
          <w:b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pStyle w:val="48"/>
        <w:spacing w:line="700" w:lineRule="exact"/>
        <w:ind w:firstLine="624" w:firstLineChars="200"/>
        <w:jc w:val="left"/>
        <w:rPr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本次评价通过数据分析等方式，全面了解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zh-TW" w:eastAsia="zh-TW"/>
        </w:rPr>
        <w:t>中央政法转移支付资金（办案业务经费）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的使用效率和效果，项目管理过程规范，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  <w:lang w:eastAsia="zh-CN"/>
        </w:rPr>
        <w:t>按时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完成了预期绩效目标。同时，通过开展自我评价来总结经验和教训，为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  <w:lang w:eastAsia="zh-CN"/>
        </w:rPr>
        <w:t>喀什地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zh-TW" w:eastAsia="zh-TW"/>
        </w:rPr>
        <w:t>中央政法转移支付资金（办案业务经费）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04F84"/>
    <w:multiLevelType w:val="singleLevel"/>
    <w:tmpl w:val="77904F8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3F1A98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82985"/>
    <w:rsid w:val="00922CB9"/>
    <w:rsid w:val="009350F7"/>
    <w:rsid w:val="009B526F"/>
    <w:rsid w:val="009C1AFD"/>
    <w:rsid w:val="009D4BFB"/>
    <w:rsid w:val="00A26421"/>
    <w:rsid w:val="00A4293B"/>
    <w:rsid w:val="00A83BD5"/>
    <w:rsid w:val="00A977DF"/>
    <w:rsid w:val="00AE6A23"/>
    <w:rsid w:val="00B06CA5"/>
    <w:rsid w:val="00B13FCF"/>
    <w:rsid w:val="00B41F61"/>
    <w:rsid w:val="00B55332"/>
    <w:rsid w:val="00B86E8C"/>
    <w:rsid w:val="00BE1A00"/>
    <w:rsid w:val="00C22CF0"/>
    <w:rsid w:val="00C56C72"/>
    <w:rsid w:val="00CA6457"/>
    <w:rsid w:val="00CC4442"/>
    <w:rsid w:val="00CC6E4D"/>
    <w:rsid w:val="00D17F2E"/>
    <w:rsid w:val="00D46194"/>
    <w:rsid w:val="00E01293"/>
    <w:rsid w:val="00E027D1"/>
    <w:rsid w:val="00E769FE"/>
    <w:rsid w:val="00EA2CBE"/>
    <w:rsid w:val="00EF3FFA"/>
    <w:rsid w:val="00F32FEE"/>
    <w:rsid w:val="00F53E69"/>
    <w:rsid w:val="0AB56CE2"/>
    <w:rsid w:val="0EB107EC"/>
    <w:rsid w:val="15814DCF"/>
    <w:rsid w:val="21454B50"/>
    <w:rsid w:val="275833BE"/>
    <w:rsid w:val="368B4B09"/>
    <w:rsid w:val="397F4FE8"/>
    <w:rsid w:val="49785373"/>
    <w:rsid w:val="4EFD6A38"/>
    <w:rsid w:val="53BD2907"/>
    <w:rsid w:val="5A7F02EA"/>
    <w:rsid w:val="671E1F98"/>
    <w:rsid w:val="742E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customStyle="1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49">
    <w:name w:val="font21"/>
    <w:basedOn w:val="1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0">
    <w:name w:val="font0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1">
    <w:name w:val="font11"/>
    <w:basedOn w:val="17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C9948E-C7AC-4B1A-BBAD-BEBC72B753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2</TotalTime>
  <ScaleCrop>false</ScaleCrop>
  <LinksUpToDate>false</LinksUpToDate>
  <CharactersWithSpaces>1916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Lenovo</cp:lastModifiedBy>
  <cp:lastPrinted>2018-12-17T10:15:00Z</cp:lastPrinted>
  <dcterms:modified xsi:type="dcterms:W3CDTF">2019-09-22T10:48:55Z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